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1713B8" w:rsidRPr="001B7067" w:rsidRDefault="001713B8"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Pr="00924777">
              <w:rPr>
                <w:rFonts w:ascii="Times New Roman" w:hAnsi="Times New Roman" w:cs="Times New Roman"/>
                <w:sz w:val="24"/>
                <w:szCs w:val="24"/>
              </w:rPr>
              <w:t>нормативного правового акта</w:t>
            </w:r>
            <w:proofErr w:type="gramEnd"/>
            <w:r w:rsidRPr="00924777">
              <w:rPr>
                <w:rFonts w:ascii="Times New Roman" w:hAnsi="Times New Roman" w:cs="Times New Roman"/>
                <w:sz w:val="24"/>
                <w:szCs w:val="24"/>
              </w:rPr>
              <w:t xml:space="preserve">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1713B8" w:rsidRDefault="00924777" w:rsidP="00F3282F">
            <w:pPr>
              <w:spacing w:after="0" w:line="240" w:lineRule="auto"/>
              <w:jc w:val="both"/>
              <w:rPr>
                <w:rFonts w:ascii="Times New Roman" w:hAnsi="Times New Roman" w:cs="Times New Roman"/>
                <w:i/>
                <w:sz w:val="24"/>
                <w:szCs w:val="24"/>
              </w:rPr>
            </w:pPr>
            <w:r w:rsidRPr="001713B8">
              <w:rPr>
                <w:rFonts w:ascii="Times New Roman" w:hAnsi="Times New Roman" w:cs="Times New Roman"/>
                <w:i/>
                <w:sz w:val="24"/>
                <w:szCs w:val="24"/>
              </w:rPr>
              <w:t xml:space="preserve">проект </w:t>
            </w:r>
            <w:r w:rsidR="00F3282F" w:rsidRPr="001713B8">
              <w:rPr>
                <w:rFonts w:ascii="Times New Roman" w:hAnsi="Times New Roman" w:cs="Times New Roman"/>
                <w:i/>
                <w:sz w:val="24"/>
                <w:szCs w:val="24"/>
              </w:rPr>
              <w:t>приказа департамента имущественных отношений Краснодарского края «</w:t>
            </w:r>
            <w:r w:rsidR="001713B8" w:rsidRPr="001713B8">
              <w:rPr>
                <w:rFonts w:ascii="Times New Roman" w:hAnsi="Times New Roman" w:cs="Times New Roman"/>
                <w:i/>
                <w:sz w:val="24"/>
                <w:szCs w:val="24"/>
              </w:rPr>
              <w:t>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643F61"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03/09/2015-7/09/2015</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643F61"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08/09/2015</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924777" w:rsidRDefault="001713B8" w:rsidP="00735A4D">
            <w:pPr>
              <w:spacing w:after="0" w:line="240" w:lineRule="auto"/>
              <w:jc w:val="both"/>
              <w:rPr>
                <w:rFonts w:ascii="Times New Roman" w:hAnsi="Times New Roman" w:cs="Times New Roman"/>
                <w:sz w:val="24"/>
                <w:szCs w:val="24"/>
              </w:rPr>
            </w:pPr>
            <w:r w:rsidRPr="001713B8">
              <w:rPr>
                <w:rFonts w:ascii="Times New Roman" w:hAnsi="Times New Roman" w:cs="Times New Roman"/>
                <w:i/>
                <w:sz w:val="24"/>
                <w:szCs w:val="24"/>
              </w:rPr>
              <w:t>приказа департамента имущественных отношений Краснодарского края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924777" w:rsidRDefault="00924777" w:rsidP="00924777">
            <w:pPr>
              <w:spacing w:after="0" w:line="240" w:lineRule="auto"/>
              <w:rPr>
                <w:rFonts w:ascii="Times New Roman" w:hAnsi="Times New Roman" w:cs="Times New Roman"/>
                <w:sz w:val="20"/>
                <w:szCs w:val="20"/>
              </w:rPr>
            </w:pPr>
            <w:r w:rsidRPr="001B7067">
              <w:rPr>
                <w:rFonts w:ascii="Times New Roman" w:hAnsi="Times New Roman" w:cs="Times New Roman"/>
                <w:sz w:val="20"/>
                <w:szCs w:val="20"/>
              </w:rPr>
              <w:t>при поступлении в министерство экономики Краснодарского края будет размещен на сайте "</w:t>
            </w:r>
            <w:hyperlink r:id="rId4" w:history="1">
              <w:r w:rsidRPr="001B7067">
                <w:rPr>
                  <w:rStyle w:val="a3"/>
                  <w:rFonts w:ascii="Times New Roman" w:hAnsi="Times New Roman" w:cs="Times New Roman"/>
                  <w:sz w:val="20"/>
                  <w:szCs w:val="20"/>
                </w:rPr>
                <w:t>economy.krasnodar.ru</w:t>
              </w:r>
            </w:hyperlink>
            <w:r w:rsidRPr="001B7067">
              <w:rPr>
                <w:rFonts w:ascii="Times New Roman" w:hAnsi="Times New Roman" w:cs="Times New Roman"/>
                <w:sz w:val="20"/>
                <w:szCs w:val="20"/>
              </w:rPr>
              <w:t>" для проведения публичных консультаций уполномоченным органом.</w:t>
            </w:r>
          </w:p>
          <w:p w:rsidR="001B7067" w:rsidRDefault="001B7067" w:rsidP="00924777">
            <w:pPr>
              <w:spacing w:after="0" w:line="240" w:lineRule="auto"/>
              <w:rPr>
                <w:rFonts w:ascii="Times New Roman" w:hAnsi="Times New Roman" w:cs="Times New Roman"/>
                <w:sz w:val="20"/>
                <w:szCs w:val="20"/>
              </w:rPr>
            </w:pPr>
          </w:p>
          <w:p w:rsidR="001713B8" w:rsidRPr="001B7067" w:rsidRDefault="001713B8"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924777" w:rsidRDefault="00924777" w:rsidP="00924777">
      <w:pPr>
        <w:spacing w:after="0" w:line="240" w:lineRule="auto"/>
        <w:rPr>
          <w:rFonts w:ascii="Times New Roman" w:hAnsi="Times New Roman" w:cs="Times New Roman"/>
          <w:sz w:val="24"/>
          <w:szCs w:val="24"/>
        </w:rPr>
      </w:pPr>
    </w:p>
    <w:p w:rsidR="001713B8" w:rsidRDefault="001713B8" w:rsidP="00924777">
      <w:pPr>
        <w:spacing w:after="0" w:line="240" w:lineRule="auto"/>
        <w:rPr>
          <w:rFonts w:ascii="Times New Roman" w:hAnsi="Times New Roman" w:cs="Times New Roman"/>
          <w:sz w:val="24"/>
          <w:szCs w:val="24"/>
        </w:rPr>
      </w:pPr>
    </w:p>
    <w:p w:rsidR="001713B8" w:rsidRDefault="001713B8" w:rsidP="00924777">
      <w:pPr>
        <w:spacing w:after="0" w:line="240" w:lineRule="auto"/>
        <w:rPr>
          <w:rFonts w:ascii="Times New Roman" w:hAnsi="Times New Roman" w:cs="Times New Roman"/>
          <w:sz w:val="24"/>
          <w:szCs w:val="24"/>
        </w:rPr>
      </w:pPr>
    </w:p>
    <w:p w:rsidR="001713B8" w:rsidRDefault="001713B8" w:rsidP="00924777">
      <w:pPr>
        <w:spacing w:after="0" w:line="240" w:lineRule="auto"/>
        <w:rPr>
          <w:rFonts w:ascii="Times New Roman" w:hAnsi="Times New Roman" w:cs="Times New Roman"/>
          <w:sz w:val="24"/>
          <w:szCs w:val="24"/>
        </w:rPr>
      </w:pPr>
    </w:p>
    <w:p w:rsidR="001713B8" w:rsidRDefault="001713B8" w:rsidP="00924777">
      <w:pPr>
        <w:spacing w:after="0" w:line="240" w:lineRule="auto"/>
        <w:rPr>
          <w:rFonts w:ascii="Times New Roman" w:hAnsi="Times New Roman" w:cs="Times New Roman"/>
          <w:sz w:val="24"/>
          <w:szCs w:val="24"/>
        </w:rPr>
      </w:pPr>
    </w:p>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FD406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проект</w:t>
            </w:r>
            <w:r w:rsidR="007012E8">
              <w:rPr>
                <w:rFonts w:ascii="Times New Roman" w:hAnsi="Times New Roman" w:cs="Times New Roman"/>
                <w:i/>
                <w:sz w:val="24"/>
                <w:szCs w:val="24"/>
              </w:rPr>
              <w:t>у</w:t>
            </w:r>
            <w:r w:rsidR="007012E8" w:rsidRPr="007012E8">
              <w:rPr>
                <w:rFonts w:ascii="Times New Roman" w:hAnsi="Times New Roman" w:cs="Times New Roman"/>
                <w:i/>
                <w:sz w:val="24"/>
                <w:szCs w:val="24"/>
              </w:rPr>
              <w:t xml:space="preserve"> </w:t>
            </w:r>
            <w:r w:rsidR="00FD4061" w:rsidRPr="00FD4061">
              <w:rPr>
                <w:rFonts w:ascii="Times New Roman" w:hAnsi="Times New Roman" w:cs="Times New Roman"/>
                <w:i/>
                <w:sz w:val="24"/>
                <w:szCs w:val="24"/>
              </w:rPr>
              <w:t>приказа департамента имущественных отношений Краснодарского края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B32660">
              <w:rPr>
                <w:rFonts w:ascii="Times New Roman" w:hAnsi="Times New Roman" w:cs="Times New Roman"/>
                <w:sz w:val="24"/>
                <w:szCs w:val="24"/>
              </w:rPr>
              <w:t xml:space="preserve"> не позднее (07/09</w:t>
            </w:r>
            <w:bookmarkStart w:id="0" w:name="_GoBack"/>
            <w:bookmarkEnd w:id="0"/>
            <w:r w:rsidR="00C47141">
              <w:rPr>
                <w:rFonts w:ascii="Times New Roman" w:hAnsi="Times New Roman" w:cs="Times New Roman"/>
                <w:sz w:val="24"/>
                <w:szCs w:val="24"/>
              </w:rPr>
              <w:t>/2015).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713B8"/>
    <w:rsid w:val="001B7067"/>
    <w:rsid w:val="00254BFC"/>
    <w:rsid w:val="004D183E"/>
    <w:rsid w:val="005E454A"/>
    <w:rsid w:val="00643F61"/>
    <w:rsid w:val="007012E8"/>
    <w:rsid w:val="00735A4D"/>
    <w:rsid w:val="008C3F07"/>
    <w:rsid w:val="00924777"/>
    <w:rsid w:val="00B044DF"/>
    <w:rsid w:val="00B32660"/>
    <w:rsid w:val="00BF4735"/>
    <w:rsid w:val="00C47141"/>
    <w:rsid w:val="00F3282F"/>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38005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Попандопуло Нина Яковлевна</cp:lastModifiedBy>
  <cp:revision>23</cp:revision>
  <dcterms:created xsi:type="dcterms:W3CDTF">2015-04-17T07:49:00Z</dcterms:created>
  <dcterms:modified xsi:type="dcterms:W3CDTF">2015-09-03T06:49:00Z</dcterms:modified>
</cp:coreProperties>
</file>